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TITLE: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Семинар по многообразие и разказване на истории в Българо-румънска палата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TEXT: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Екипът, участващ в проекта TGAL, проведе интерактивен семинар на колегите си от Българо-румънска палата.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Наша колежка, която е и преподавател в Центъра за професионално обучение към Палатата, участва в обучението за мениджъри и HR-и и  беше много приятно изненадана от дълбочината на темите, които обсъждахме и практическите дейности. Тя сподели отзивите си с други колеги от БРТПП и те полюбопитстваха да научат повече. За нашия главен изпълнителен директор също беше предизвикателство да види как работят приобщаването и многообразието (D&amp;I) на практика.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В семинара участваха 9 души от екипа ни, които работят в различни отдели и са от различни националности. Докато им представяхме обучителната програма и Инструментариума за управление на многообразието, те се докоснаха до нови понятия като несъзнателни предразсъдъци, многообразие, приобщаваща култура, микроагресия, приобщаване и други. Забавлявахме се заедно по време на различните дейности, разказвахме истории и научихме много едни за други като личности и като екип. Видяхме колко еднакви, но и същевременно колко различни сме.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Сред отзивите от колегите ни следните се откроиха: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"Научихме, че все още имаме много да учим за многообразието и приобщаването в нашата организация".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"Беше много интересно да обсъждаме стереотипите и мисля, че материалите по TGAL ще ме насочат в правилната посока както в работата, така и в личните ми отношения."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"Искам още семинари по TGAL!"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A768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A768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A768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A768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A768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A768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A768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A768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A768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A768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A768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A768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A768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A768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A768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A768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A768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A768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A768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76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A768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768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A768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A768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A768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A768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A768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768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A768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rR0sbpZ1nrDZkp1ccjVYCt/Zg==">CgMxLjA4AHIhMU9sZ1JJeUJmeG9JMkhYbW5qYnBVeExaYU90YXBhRnV0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2024-06-25T06:24:00Z</dcterms:created>
  <dc:creator>gangalova</dc:creator>
</cp:coreProperties>
</file>